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20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20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20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20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Critical Investigative Analysis of Flynn’s Case</w:t>
      </w:r>
    </w:p>
    <w:p>
      <w:pPr>
        <w:spacing w:before="0" w:after="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Saint Leo University</w:t>
      </w:r>
    </w:p>
    <w:p>
      <w:pPr>
        <w:spacing w:before="0" w:after="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Andre Pitts</w:t>
      </w:r>
    </w:p>
    <w:p>
      <w:pPr>
        <w:spacing w:before="0" w:after="0" w:line="480"/>
        <w:ind w:right="0" w:left="0" w:firstLine="72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Interviews &amp; Interrogations CRJ- 573-MCOL1</w:t>
      </w:r>
    </w:p>
    <w:p>
      <w:pPr>
        <w:spacing w:before="0" w:after="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Dr. Krawczyn</w:t>
      </w:r>
    </w:p>
    <w:p>
      <w:pPr>
        <w:spacing w:before="0" w:after="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8/15/2020</w:t>
      </w:r>
    </w:p>
    <w:p>
      <w:pPr>
        <w:spacing w:before="0" w:after="20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p>
      <w:pPr>
        <w:spacing w:before="0" w:after="20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20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Critical Investigative Analysis of Flynn’s Case</w:t>
      </w:r>
    </w:p>
    <w:p>
      <w:pPr>
        <w:spacing w:before="0" w:after="200" w:line="48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Introduction</w:t>
      </w:r>
    </w:p>
    <w:p>
      <w:pPr>
        <w:spacing w:before="0" w:after="20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Any nation’s judicial system is constitutionally its last saving grace. United States judicial system is arguably the most revered and benchmarked of all judicial systems around the globe. It has been synonymously acclaimed for its relentless quest for justice until a few years ago when it’s aiding agencies, the Federal Bureau of Investigation and the Department of Justice, came under severe criticism of subverting their constitutional mandate of ensuring justice prevails. This paper analyzes the case by critically analyzing the federal reports and court’s affidavits that involve the executive and judicial system of the United States. Particularly, the paper centers its analysis on the wrongly charged innocent General Michael Flynn, a former member of President Donald Trump’s security executive council. He is accused of working unpatriotically against the United States government in favor of the Russian government. The analysis divulges conspiracy theory on conniving tendencies carried out by top security agencies between top leadership in the Bureau of Investigations and the executive agencies in the Department of Justice. It is an analysis that questions the merit of the judicial system with broken promises in service delivery among its top-notch professional portfolio.</w:t>
      </w:r>
    </w:p>
    <w:p>
      <w:pPr>
        <w:spacing w:before="0" w:after="200" w:line="48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Ethical Dilemmas Within and Facing Criminal Justice System Adjudicating the Case</w:t>
      </w:r>
    </w:p>
    <w:p>
      <w:pPr>
        <w:spacing w:before="0" w:after="20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Judge Contreras, who immediately accepted Mr. Flynn’s guilty plea, is an epitome of the ethical dilemma facing the Criminal Justice System. The criminal justice system is faced with an ethical dilemma when it fails to live up to its constitutional mandate of preventing crime (United States District Court, 2019) and (Pulver &amp; Medina, 2018). The Justice system ought to use the laid down protocols to ensure that it protects the law without bias or favor towards anyone. Judge</w:t>
      </w:r>
      <w:r>
        <w:rPr>
          <w:rFonts w:ascii="Calibri" w:hAnsi="Calibri" w:cs="Calibri" w:eastAsia="Calibri"/>
          <w:color w:val="auto"/>
          <w:spacing w:val="0"/>
          <w:position w:val="0"/>
          <w:sz w:val="22"/>
          <w:shd w:fill="auto" w:val="clear"/>
        </w:rPr>
        <w:t xml:space="preserve"> </w:t>
      </w:r>
      <w:r>
        <w:rPr>
          <w:rFonts w:ascii="Times New Roman" w:hAnsi="Times New Roman" w:cs="Times New Roman" w:eastAsia="Times New Roman"/>
          <w:color w:val="auto"/>
          <w:spacing w:val="0"/>
          <w:position w:val="0"/>
          <w:sz w:val="24"/>
          <w:shd w:fill="auto" w:val="clear"/>
        </w:rPr>
        <w:t xml:space="preserve">Contreras conspired with his friends in the FBI to readily accept that Mr. Flynn is guilty of multiple treason charges. The state justice organs such as the Federal Bureau of Investigation should at all-time ensure that justice triumphs.  In this case, the opposite takes a turn, as shown by Goldenziel &amp; Cheema (2019). Executive members that wild power within the Criminal Justice System in the United States orchestrated false plans in the form of an interview to set up an innocent man, General Michael Flynn. Flynn was a big figure in his previous administration and when he was selected the head of intelligence agency for the same regime, he became the bearer of the bureau’s brunt and persecuting hate. FBI Deputy Director Andrew McCabe contravened notifying the Department of Justice about the impending interview they have planned to ambush General Flynn with.</w:t>
      </w:r>
    </w:p>
    <w:p>
      <w:pPr>
        <w:spacing w:before="0" w:after="20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Judge Emmet G. Sullivan who takes after Judge Contreras when the latter is recused from the case, delays in delivering the verdict knowingly due to Criminal Justice System ethical dilemmas. By critically scrutinizing the text message exchanges between FBI Agent Strzok and the FBI Deputy Director’s Special Counsel Lisa Page, evidence shows that a plot against General Flynn is a set up to counterattack the president that these security agencies do not like (United States District Court, 2019). This is a similar web that Judge Sullivan watches out not to fall prey. The executive arm of the government has frequently come out strongly to denounce professionals that differ with its endeavors. These are the issues that force judge Sullivan to adjourn hearings and acceptance of the guilty plea case as attested by Pulver &amp; Medina (2018).  Inclining that the former President’s Security Advisor was working with the Russian government as an inside man meant delegitimizing the president’s administration. The high-ranking FBI officials, therefore, acted against what the crime prevention agency, the FBI stands for.</w:t>
      </w:r>
    </w:p>
    <w:p>
      <w:pPr>
        <w:spacing w:before="0" w:after="20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Similarly, the judge that ascended the guilty plea that was fabricated right after Mr. Flynn had resigned from service due to immense conflicting ethical dilemmas that befell him in the Criminal Justice System. The text message exchanges between FBI Agent Strzok and Special Counsel Lisa Page further revealed that the judge who adjudicated Mr. Flynn’s case of the guilty plea was part of the whole conspiracy. He was a friend of the Deputy Director and agent Strzok of FBI.  It is the ethical dilemma that ensnared the Criminal Justice System. From the federal investigation to the courtroom prosecution, the criminal justice system was a crossroads.</w:t>
      </w:r>
    </w:p>
    <w:p>
      <w:pPr>
        <w:spacing w:before="0" w:after="200" w:line="48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Ethical Dilemmas Facing FBI and Department of Justice That Investigates and Prosecutes Michael Flynn</w:t>
      </w:r>
    </w:p>
    <w:p>
      <w:pPr>
        <w:spacing w:before="0" w:after="20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The ethical dilemma that faced the FBI and the Department of Justice that investigated and prosecuted Mr. Flynn was falsehood accusation by these departments. There were malicious motives to tie down and set up Mr. Flynn to a case of Russia’s interference in the 2016 United States elections. The deputy director of the Bureau of Investigations and his DOS counterparts already had prior information on the type of conversations that were taking place between Russia’s ambassador to the United States, Mr. Kislyak and Mr. Flynn. Without legal consultations with the White House, the bureau took matters into their own hands and formulated Flynn 302, a false documentary report to be used against the former security advisor to the president. As shown by Goldenziel &amp; Cheema (2019), this report would falsely incriminate the former president’s security advisor. This is unethical and a gross violation of codes of ethics in the two departments.</w:t>
      </w:r>
    </w:p>
    <w:p>
      <w:pPr>
        <w:spacing w:before="0" w:after="20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On the other hand, the FBI and the Department of Justice have exemplified an unpatriotic approach to the government and the constitution that they serve. This is what the case describes in the report provided, as agreed upon by Pulver &amp; Medina (2018). Members in the top positions at the FBI lead by Deputy Director and other leading agents evidently discuss through text messages how their loath for the incoming administration is outraging and must be curtailed. This is a contravention of patriotism and loyalty to one’s government. In addition, this case continues to stand out as a dilemma because if the head of any security agency commits a crime knowingly, what is left as the fabric of reason in that department becomes a wanton disgrace among the public. The FBI Deputy Director’s decision to interview Mr. Flynn was contrary to guiding provisions of the Federal Bureau of Investigations and Department of Justice protocols (Goldenziel &amp; Cheema, 2019). Deputy Director Andrew McCabe did not notify the White House Counsel that the FBI required communications with a key member of the president’s staff. In a nutshell, he designed schemes to prevent Mr. Flynn from seeking the information of guidance from other members. This contravention sums up the ethical miss-standards that are borne in the security and justice departments.</w:t>
      </w:r>
    </w:p>
    <w:p>
      <w:pPr>
        <w:spacing w:before="0" w:after="200" w:line="48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Analysis of how the Interview was Obtained and Orchestrated Against Flynn and Associates</w:t>
      </w:r>
    </w:p>
    <w:p>
      <w:pPr>
        <w:spacing w:before="0" w:after="20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The interview was obtained through a pretext of keeping Mr. Flynn relaxed and secure in his dealings with Russian diplomats about fighting terrorism together. The Deputy Director of the FBI disguised his intentions under the title of using news of the “Steele dossier” to interview certain individuals in Whitehouse. The concept of the disguised interview was a ploy to allow the FBI agents who conducted the interview to trap President Trump’s closest aide as a way of bringing them down. They would then lure Mr. Flynn into making statements they could allege as false later on. In addition, during Mr. Flynn’s interrogation, his family, especially his son, is tormented as the Feds ransack their home while holding them at gunpoint. This is captured through nervous text messages between Agent Strzok and Lisa Page.</w:t>
      </w:r>
    </w:p>
    <w:p>
      <w:pPr>
        <w:spacing w:before="0" w:after="20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Furthermore, Mr. Flynn’s professional roles and influence as a lead security advisor to the president dwindled after the interview. The attached FBI interview report illustrates how Mr. Flynn spearheaded and conducted bilateral video and teleconferencing between the United States President Trump and Russian counterpart Vladimir Putin. The interview was well planned and orchestrated in a manner that allowed Mr. Flynn to remain calm as he gave out the needed information that would bring to his legal challenges. His associates, such as the Russian ambassador to the United States, Mr. Kislyak, would be disbanded on falsehood pretexts made by the Bureau and Criminal Justice System.</w:t>
      </w:r>
    </w:p>
    <w:p>
      <w:pPr>
        <w:spacing w:before="0" w:after="200" w:line="48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Critical Analysis of Various Political Aspects and Legal Commentaries Brought to Bear on Flynn’s Guilty Plea</w:t>
      </w:r>
    </w:p>
    <w:p>
      <w:pPr>
        <w:spacing w:before="0" w:after="20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Political aspects that are brought in to bear on Mr. Flynn’s case of pleading guilty involve Russian political interference in the United States 2016 elections. Mr. Flynn being a critical figure in President Trump’s administration, he acted in accordance with the executive orders that were channeled to his desk. The investigated article discusses that at one point, Mr. Flynn is asked to call countries to ascertain where they stood on the United Nation’s vote (United States District Court, 2019). The faster these countries would respond, the adequate the current regime would be in case of political upheavals that require swift partnerships. Such were the duties that were conducted by the office of Mr. Flynn. Political muscles of countries such as China, Russia and Iraq are tied to the case that seeks to topple Trump’s administration in maneuvering schemes of the FBI.</w:t>
      </w:r>
    </w:p>
    <w:p>
      <w:pPr>
        <w:spacing w:before="0" w:after="20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Legal aspects that were brought before the Senate Judicial Committee included the case that involved Sorrells v. the United States, 287 U.S. 435, 444-45 in 1932. It captures a special legal proceeding where an individual’s rights are violated by the same State’s government that is supposed to protect the person (United States District Court, 2019). Linking the legal commentary from the said case, Mr. Flynn is an innocent man, as attested by text message discussions against him.  The federal Bureau of Investigation had set him up for his alleged boss’ wrongdoings. Legal commentaries from Sorrells v. United States case illustrate the grave violation of the federal constitution that allows legal systems and agencies to work for the well-being of all citizens. This case poses a dilemma in the bureau and in the legal agencies like criminal justice systems.</w:t>
      </w:r>
    </w:p>
    <w:p>
      <w:pPr>
        <w:spacing w:before="0" w:after="200" w:line="48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Analysis of the Federal Judge’s Behavior towards Accepting Flynn’s Guilty Plea</w:t>
      </w:r>
    </w:p>
    <w:p>
      <w:pPr>
        <w:spacing w:before="0" w:after="20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Judge Emmet G. Sullivan’s delays, extensions and reluctance to accept Flynn’s guilty plea are illustrative of the tug of war between the executive and judicial arms of government. The two arms of government are supposed to work in complementary objective strive to effect dictates of the federal constitution as posited by McCann (2018) and United States District Court (2019). Judge Sullivan’s delays are time buying schemes or techniques that bear the nature of conflicts embedded in the case. Correspondingly, Judge Sullivan’s appointment to the case came on the same day of 12/07/2017 that judge Contreras was recused from the case. He had to act wisely.</w:t>
      </w:r>
    </w:p>
    <w:p>
      <w:pPr>
        <w:spacing w:before="0" w:after="20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The information about the case had already been spilled by CNN among other news outlets. In a wake to salvage the dented image of the criminal justice system from the public disparage, judge Contreras had to be hounded off the case for he was part of the mega conspiracy. He had been a friend of the FBI’s Agent Strzok (The federal Bureau of Investigation, 2019). He accepted the guilty plea of Mr. Flynn earlier before scrutinizing tiny details about the same case. According to McCann (2018) and Boateng &amp; Abess (2017), these are the ramifications that judge Sullivan wanted to avoid as possible through his delays.</w:t>
      </w:r>
    </w:p>
    <w:p>
      <w:pPr>
        <w:spacing w:before="0" w:after="200" w:line="48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Analysis of Flynn’s Role as a National Security Director as Documented in FISA Court Application</w:t>
      </w:r>
    </w:p>
    <w:p>
      <w:pPr>
        <w:spacing w:before="0" w:after="20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General Flynn’s Role as a National Security Director entailed finding solutions to curb all forms of foreign threats against the United States. As indicated in the case provide, he had assessed that threats against the United States would culminate from ISIS, Russia, Iraq and China. Part of the conspired interview had revealed that whenever the FBI agents asked Mr. Flynn a question, he would explain with his answer with more inclination towards fighting terrorism. Equally, national security adviser prepares the president for NSC meetings, drafts national security and foreign policy speeches. As posited by Tarkington (2018), the security advisor answers to presidential requirements for information. He also briefs the president trending issues of security as illustrated by Goldenziel &amp; Cheema (2019).</w:t>
      </w:r>
    </w:p>
    <w:p>
      <w:pPr>
        <w:spacing w:before="0" w:after="20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As documented in the FISA Court Application filing, the roles of Mr. Flynn as a National Security Director have changed to a foreign spy within a deep state of the United States government. His conspired allegiance towards giving out information portending to the sacking of more than 30 Russian officials from United States offices following claims of the hacked election, landed him the new titles. According to The federal Bureau of Investigation (2019), the interview recalls an alleged dialogue between the Russian diplomat to the United States of America, Mr. Kislyak surrounding the expulsion of Russian diplomats. This conclusion sheds light on the accused roles of a misplay that Mr. Flynn carried out. Such undiplomatic tie accusations have been used to link legitimate roles of the office of National Security Director to the foreign mole which Mr. Flynn is accused of.</w:t>
      </w:r>
    </w:p>
    <w:p>
      <w:pPr>
        <w:spacing w:before="0" w:after="200" w:line="48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Conclusions</w:t>
      </w:r>
    </w:p>
    <w:p>
      <w:pPr>
        <w:spacing w:before="0" w:after="20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National intelligence conspiracy against a leading member in the executive arm of the government can result in coup d’état when not adequately checked. As much as the security agencies are taken to be bipartisan regiments of state leadership, they should only move to implement their roles in upholding justice. Only then can the criminal justice system enjoy supremacy rating from the public domain. Endorsed with multiple intelligence resources, the United States Federal Bureau of Investigations should not have acted in pretext to tear down one person as a tactic to ruin another. It is clear the conspiracy report in the case involved the executive team’s conflict with dissatisfied State departments and the bureau. Such matters of aggrieved government impeachments should be left in the hands of right stakeholders such as common voters, Congressional vote of no confidence in the government, the Senate Judicial Committee and the Supreme Court. These bodies have the constitutional prescription to ouster incompetent regime as discussed through text message exchanges between the leading FBI officials in the conspiracy case.</w:t>
      </w:r>
    </w:p>
    <w:p>
      <w:pPr>
        <w:spacing w:before="0" w:after="20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p>
      <w:pPr>
        <w:spacing w:before="0" w:after="20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20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References</w:t>
      </w:r>
    </w:p>
    <w:p>
      <w:pPr>
        <w:spacing w:before="0" w:after="200" w:line="480"/>
        <w:ind w:right="0" w:left="720" w:hanging="720"/>
        <w:jc w:val="left"/>
        <w:rPr>
          <w:rFonts w:ascii="Times New Roman" w:hAnsi="Times New Roman" w:cs="Times New Roman" w:eastAsia="Times New Roman"/>
          <w:color w:val="222222"/>
          <w:spacing w:val="0"/>
          <w:position w:val="0"/>
          <w:sz w:val="24"/>
          <w:shd w:fill="FFFFFF" w:val="clear"/>
        </w:rPr>
      </w:pPr>
      <w:r>
        <w:rPr>
          <w:rFonts w:ascii="Times New Roman" w:hAnsi="Times New Roman" w:cs="Times New Roman" w:eastAsia="Times New Roman"/>
          <w:color w:val="222222"/>
          <w:spacing w:val="0"/>
          <w:position w:val="0"/>
          <w:sz w:val="24"/>
          <w:shd w:fill="FFFFFF" w:val="clear"/>
        </w:rPr>
        <w:t xml:space="preserve">Boateng, F. D., &amp; Abess, G. (2017). Victims’ Role in the Criminal Justice System: A Statutory Analysis of Victims’ Rights in U.S. </w:t>
      </w:r>
      <w:r>
        <w:rPr>
          <w:rFonts w:ascii="Times New Roman" w:hAnsi="Times New Roman" w:cs="Times New Roman" w:eastAsia="Times New Roman"/>
          <w:i/>
          <w:color w:val="222222"/>
          <w:spacing w:val="0"/>
          <w:position w:val="0"/>
          <w:sz w:val="24"/>
          <w:shd w:fill="FFFFFF" w:val="clear"/>
        </w:rPr>
        <w:t xml:space="preserve">International Journal of Police Science &amp; Management</w:t>
      </w:r>
      <w:r>
        <w:rPr>
          <w:rFonts w:ascii="Times New Roman" w:hAnsi="Times New Roman" w:cs="Times New Roman" w:eastAsia="Times New Roman"/>
          <w:color w:val="222222"/>
          <w:spacing w:val="0"/>
          <w:position w:val="0"/>
          <w:sz w:val="24"/>
          <w:shd w:fill="FFFFFF" w:val="clear"/>
        </w:rPr>
        <w:t xml:space="preserve">, </w:t>
      </w:r>
      <w:r>
        <w:rPr>
          <w:rFonts w:ascii="Times New Roman" w:hAnsi="Times New Roman" w:cs="Times New Roman" w:eastAsia="Times New Roman"/>
          <w:i/>
          <w:color w:val="222222"/>
          <w:spacing w:val="0"/>
          <w:position w:val="0"/>
          <w:sz w:val="24"/>
          <w:shd w:fill="FFFFFF" w:val="clear"/>
        </w:rPr>
        <w:t xml:space="preserve">19</w:t>
      </w:r>
      <w:r>
        <w:rPr>
          <w:rFonts w:ascii="Times New Roman" w:hAnsi="Times New Roman" w:cs="Times New Roman" w:eastAsia="Times New Roman"/>
          <w:color w:val="222222"/>
          <w:spacing w:val="0"/>
          <w:position w:val="0"/>
          <w:sz w:val="24"/>
          <w:shd w:fill="FFFFFF" w:val="clear"/>
        </w:rPr>
        <w:t xml:space="preserve">(4), 221-228.</w:t>
      </w:r>
    </w:p>
    <w:p>
      <w:pPr>
        <w:spacing w:before="0" w:after="200" w:line="480"/>
        <w:ind w:right="0" w:left="720" w:hanging="720"/>
        <w:jc w:val="left"/>
        <w:rPr>
          <w:rFonts w:ascii="Times New Roman" w:hAnsi="Times New Roman" w:cs="Times New Roman" w:eastAsia="Times New Roman"/>
          <w:color w:val="222222"/>
          <w:spacing w:val="0"/>
          <w:position w:val="0"/>
          <w:sz w:val="24"/>
          <w:shd w:fill="FFFFFF" w:val="clear"/>
        </w:rPr>
      </w:pPr>
      <w:r>
        <w:rPr>
          <w:rFonts w:ascii="Times New Roman" w:hAnsi="Times New Roman" w:cs="Times New Roman" w:eastAsia="Times New Roman"/>
          <w:color w:val="222222"/>
          <w:spacing w:val="0"/>
          <w:position w:val="0"/>
          <w:sz w:val="24"/>
          <w:shd w:fill="FFFFFF" w:val="clear"/>
        </w:rPr>
        <w:t xml:space="preserve">Goldenziel, J. I., &amp; Cheema, M. (2019). Protecting First Amendment Rights in the Fight against Disinformation: Lessons Learned from FISA. </w:t>
      </w:r>
      <w:r>
        <w:rPr>
          <w:rFonts w:ascii="Times New Roman" w:hAnsi="Times New Roman" w:cs="Times New Roman" w:eastAsia="Times New Roman"/>
          <w:i/>
          <w:color w:val="222222"/>
          <w:spacing w:val="0"/>
          <w:position w:val="0"/>
          <w:sz w:val="24"/>
          <w:shd w:fill="FFFFFF" w:val="clear"/>
        </w:rPr>
        <w:t xml:space="preserve">Md. L. Rev.</w:t>
      </w:r>
      <w:r>
        <w:rPr>
          <w:rFonts w:ascii="Times New Roman" w:hAnsi="Times New Roman" w:cs="Times New Roman" w:eastAsia="Times New Roman"/>
          <w:color w:val="222222"/>
          <w:spacing w:val="0"/>
          <w:position w:val="0"/>
          <w:sz w:val="24"/>
          <w:shd w:fill="FFFFFF" w:val="clear"/>
        </w:rPr>
        <w:t xml:space="preserve">, </w:t>
      </w:r>
      <w:r>
        <w:rPr>
          <w:rFonts w:ascii="Times New Roman" w:hAnsi="Times New Roman" w:cs="Times New Roman" w:eastAsia="Times New Roman"/>
          <w:i/>
          <w:color w:val="222222"/>
          <w:spacing w:val="0"/>
          <w:position w:val="0"/>
          <w:sz w:val="24"/>
          <w:shd w:fill="FFFFFF" w:val="clear"/>
        </w:rPr>
        <w:t xml:space="preserve">79</w:t>
      </w:r>
      <w:r>
        <w:rPr>
          <w:rFonts w:ascii="Times New Roman" w:hAnsi="Times New Roman" w:cs="Times New Roman" w:eastAsia="Times New Roman"/>
          <w:color w:val="222222"/>
          <w:spacing w:val="0"/>
          <w:position w:val="0"/>
          <w:sz w:val="24"/>
          <w:shd w:fill="FFFFFF" w:val="clear"/>
        </w:rPr>
        <w:t xml:space="preserve">, 114.</w:t>
      </w:r>
    </w:p>
    <w:p>
      <w:pPr>
        <w:spacing w:before="0" w:after="200" w:line="480"/>
        <w:ind w:right="0" w:left="720" w:hanging="720"/>
        <w:jc w:val="left"/>
        <w:rPr>
          <w:rFonts w:ascii="Times New Roman" w:hAnsi="Times New Roman" w:cs="Times New Roman" w:eastAsia="Times New Roman"/>
          <w:color w:val="222222"/>
          <w:spacing w:val="0"/>
          <w:position w:val="0"/>
          <w:sz w:val="24"/>
          <w:shd w:fill="FFFFFF" w:val="clear"/>
        </w:rPr>
      </w:pPr>
      <w:r>
        <w:rPr>
          <w:rFonts w:ascii="Times New Roman" w:hAnsi="Times New Roman" w:cs="Times New Roman" w:eastAsia="Times New Roman"/>
          <w:color w:val="222222"/>
          <w:spacing w:val="0"/>
          <w:position w:val="0"/>
          <w:sz w:val="24"/>
          <w:shd w:fill="FFFFFF" w:val="clear"/>
        </w:rPr>
        <w:t xml:space="preserve">McCann, D. (2018). Deep State Gate and the Anti-Trumpers. </w:t>
      </w:r>
      <w:r>
        <w:rPr>
          <w:rFonts w:ascii="Times New Roman" w:hAnsi="Times New Roman" w:cs="Times New Roman" w:eastAsia="Times New Roman"/>
          <w:i/>
          <w:color w:val="222222"/>
          <w:spacing w:val="0"/>
          <w:position w:val="0"/>
          <w:sz w:val="24"/>
          <w:shd w:fill="FFFFFF" w:val="clear"/>
        </w:rPr>
        <w:t xml:space="preserve">Quadrant</w:t>
      </w:r>
      <w:r>
        <w:rPr>
          <w:rFonts w:ascii="Times New Roman" w:hAnsi="Times New Roman" w:cs="Times New Roman" w:eastAsia="Times New Roman"/>
          <w:color w:val="222222"/>
          <w:spacing w:val="0"/>
          <w:position w:val="0"/>
          <w:sz w:val="24"/>
          <w:shd w:fill="FFFFFF" w:val="clear"/>
        </w:rPr>
        <w:t xml:space="preserve">, </w:t>
      </w:r>
      <w:r>
        <w:rPr>
          <w:rFonts w:ascii="Times New Roman" w:hAnsi="Times New Roman" w:cs="Times New Roman" w:eastAsia="Times New Roman"/>
          <w:i/>
          <w:color w:val="222222"/>
          <w:spacing w:val="0"/>
          <w:position w:val="0"/>
          <w:sz w:val="24"/>
          <w:shd w:fill="FFFFFF" w:val="clear"/>
        </w:rPr>
        <w:t xml:space="preserve">62</w:t>
      </w:r>
      <w:r>
        <w:rPr>
          <w:rFonts w:ascii="Times New Roman" w:hAnsi="Times New Roman" w:cs="Times New Roman" w:eastAsia="Times New Roman"/>
          <w:color w:val="222222"/>
          <w:spacing w:val="0"/>
          <w:position w:val="0"/>
          <w:sz w:val="24"/>
          <w:shd w:fill="FFFFFF" w:val="clear"/>
        </w:rPr>
        <w:t xml:space="preserve">(3), 30.</w:t>
      </w:r>
    </w:p>
    <w:p>
      <w:pPr>
        <w:spacing w:before="0" w:after="200" w:line="480"/>
        <w:ind w:right="0" w:left="720" w:hanging="720"/>
        <w:jc w:val="left"/>
        <w:rPr>
          <w:rFonts w:ascii="Times New Roman" w:hAnsi="Times New Roman" w:cs="Times New Roman" w:eastAsia="Times New Roman"/>
          <w:color w:val="222222"/>
          <w:spacing w:val="0"/>
          <w:position w:val="0"/>
          <w:sz w:val="24"/>
          <w:shd w:fill="FFFFFF" w:val="clear"/>
        </w:rPr>
      </w:pPr>
      <w:r>
        <w:rPr>
          <w:rFonts w:ascii="Times New Roman" w:hAnsi="Times New Roman" w:cs="Times New Roman" w:eastAsia="Times New Roman"/>
          <w:color w:val="222222"/>
          <w:spacing w:val="0"/>
          <w:position w:val="0"/>
          <w:sz w:val="24"/>
          <w:shd w:fill="FFFFFF" w:val="clear"/>
        </w:rPr>
        <w:t xml:space="preserve">Pulver, A., &amp; Medina, R. M. (2018). A Review of Security and Privacy Concerns in Digital Intelligence Collection. </w:t>
      </w:r>
      <w:r>
        <w:rPr>
          <w:rFonts w:ascii="Times New Roman" w:hAnsi="Times New Roman" w:cs="Times New Roman" w:eastAsia="Times New Roman"/>
          <w:i/>
          <w:color w:val="222222"/>
          <w:spacing w:val="0"/>
          <w:position w:val="0"/>
          <w:sz w:val="24"/>
          <w:shd w:fill="FFFFFF" w:val="clear"/>
        </w:rPr>
        <w:t xml:space="preserve">Intelligence and National Security</w:t>
      </w:r>
      <w:r>
        <w:rPr>
          <w:rFonts w:ascii="Times New Roman" w:hAnsi="Times New Roman" w:cs="Times New Roman" w:eastAsia="Times New Roman"/>
          <w:color w:val="222222"/>
          <w:spacing w:val="0"/>
          <w:position w:val="0"/>
          <w:sz w:val="24"/>
          <w:shd w:fill="FFFFFF" w:val="clear"/>
        </w:rPr>
        <w:t xml:space="preserve">, </w:t>
      </w:r>
      <w:r>
        <w:rPr>
          <w:rFonts w:ascii="Times New Roman" w:hAnsi="Times New Roman" w:cs="Times New Roman" w:eastAsia="Times New Roman"/>
          <w:i/>
          <w:color w:val="222222"/>
          <w:spacing w:val="0"/>
          <w:position w:val="0"/>
          <w:sz w:val="24"/>
          <w:shd w:fill="FFFFFF" w:val="clear"/>
        </w:rPr>
        <w:t xml:space="preserve">33</w:t>
      </w:r>
      <w:r>
        <w:rPr>
          <w:rFonts w:ascii="Times New Roman" w:hAnsi="Times New Roman" w:cs="Times New Roman" w:eastAsia="Times New Roman"/>
          <w:color w:val="222222"/>
          <w:spacing w:val="0"/>
          <w:position w:val="0"/>
          <w:sz w:val="24"/>
          <w:shd w:fill="FFFFFF" w:val="clear"/>
        </w:rPr>
        <w:t xml:space="preserve">(2), 241-256.</w:t>
      </w:r>
    </w:p>
    <w:p>
      <w:pPr>
        <w:spacing w:before="0" w:after="200" w:line="480"/>
        <w:ind w:right="0" w:left="720" w:hanging="720"/>
        <w:jc w:val="left"/>
        <w:rPr>
          <w:rFonts w:ascii="Times New Roman" w:hAnsi="Times New Roman" w:cs="Times New Roman" w:eastAsia="Times New Roman"/>
          <w:color w:val="222222"/>
          <w:spacing w:val="0"/>
          <w:position w:val="0"/>
          <w:sz w:val="24"/>
          <w:shd w:fill="FFFFFF" w:val="clear"/>
        </w:rPr>
      </w:pPr>
      <w:r>
        <w:rPr>
          <w:rFonts w:ascii="Times New Roman" w:hAnsi="Times New Roman" w:cs="Times New Roman" w:eastAsia="Times New Roman"/>
          <w:color w:val="222222"/>
          <w:spacing w:val="0"/>
          <w:position w:val="0"/>
          <w:sz w:val="24"/>
          <w:shd w:fill="FFFFFF" w:val="clear"/>
        </w:rPr>
        <w:t xml:space="preserve">Tarkington, M. (2018). </w:t>
      </w:r>
      <w:r>
        <w:rPr>
          <w:rFonts w:ascii="Times New Roman" w:hAnsi="Times New Roman" w:cs="Times New Roman" w:eastAsia="Times New Roman"/>
          <w:i/>
          <w:color w:val="222222"/>
          <w:spacing w:val="0"/>
          <w:position w:val="0"/>
          <w:sz w:val="24"/>
          <w:shd w:fill="FFFFFF" w:val="clear"/>
        </w:rPr>
        <w:t xml:space="preserve">Voice of Justice: Reclaiming the First Amendment Rights of Lawyers</w:t>
      </w:r>
      <w:r>
        <w:rPr>
          <w:rFonts w:ascii="Times New Roman" w:hAnsi="Times New Roman" w:cs="Times New Roman" w:eastAsia="Times New Roman"/>
          <w:color w:val="222222"/>
          <w:spacing w:val="0"/>
          <w:position w:val="0"/>
          <w:sz w:val="24"/>
          <w:shd w:fill="FFFFFF" w:val="clear"/>
        </w:rPr>
        <w:t xml:space="preserve">. Cambridge University Press.</w:t>
      </w:r>
    </w:p>
    <w:p>
      <w:pPr>
        <w:spacing w:before="0" w:after="200" w:line="480"/>
        <w:ind w:right="0" w:left="720" w:hanging="720"/>
        <w:jc w:val="left"/>
        <w:rPr>
          <w:rFonts w:ascii="Times New Roman" w:hAnsi="Times New Roman" w:cs="Times New Roman" w:eastAsia="Times New Roman"/>
          <w:color w:val="222222"/>
          <w:spacing w:val="0"/>
          <w:position w:val="0"/>
          <w:sz w:val="24"/>
          <w:shd w:fill="FFFFFF" w:val="clear"/>
        </w:rPr>
      </w:pPr>
      <w:r>
        <w:rPr>
          <w:rFonts w:ascii="Times New Roman" w:hAnsi="Times New Roman" w:cs="Times New Roman" w:eastAsia="Times New Roman"/>
          <w:color w:val="222222"/>
          <w:spacing w:val="0"/>
          <w:position w:val="0"/>
          <w:sz w:val="24"/>
          <w:shd w:fill="FFFFFF" w:val="clear"/>
        </w:rPr>
        <w:t xml:space="preserve">The Federal Bureau of Investigation (FBI). (2019). Case 1:17-cr-00232-EGS Document 85.</w:t>
      </w:r>
    </w:p>
    <w:p>
      <w:pPr>
        <w:spacing w:before="0" w:after="200" w:line="480"/>
        <w:ind w:right="0" w:left="720" w:hanging="720"/>
        <w:jc w:val="left"/>
        <w:rPr>
          <w:rFonts w:ascii="Times New Roman" w:hAnsi="Times New Roman" w:cs="Times New Roman" w:eastAsia="Times New Roman"/>
          <w:color w:val="222222"/>
          <w:spacing w:val="0"/>
          <w:position w:val="0"/>
          <w:sz w:val="24"/>
          <w:shd w:fill="FFFFFF" w:val="clear"/>
        </w:rPr>
      </w:pPr>
      <w:r>
        <w:rPr>
          <w:rFonts w:ascii="Times New Roman" w:hAnsi="Times New Roman" w:cs="Times New Roman" w:eastAsia="Times New Roman"/>
          <w:color w:val="222222"/>
          <w:spacing w:val="0"/>
          <w:position w:val="0"/>
          <w:sz w:val="24"/>
          <w:shd w:fill="FFFFFF" w:val="clear"/>
        </w:rPr>
        <w:t xml:space="preserve">United States District Court. (2019). Case 1:17-cr-00232-EGS Document 129-2.</w:t>
      </w: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